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9B1" w:rsidRDefault="00F2022D" w:rsidP="0016008A">
      <w:pPr>
        <w:jc w:val="center"/>
        <w:rPr>
          <w:b/>
          <w:lang w:val="en-GB"/>
        </w:rPr>
      </w:pPr>
      <w:r>
        <w:rPr>
          <w:b/>
          <w:noProof/>
          <w:lang w:val="en-US" w:eastAsia="en-US"/>
        </w:rPr>
        <mc:AlternateContent>
          <mc:Choice Requires="wps">
            <w:drawing>
              <wp:anchor distT="0" distB="0" distL="114300" distR="114300" simplePos="0" relativeHeight="251657728" behindDoc="0" locked="0" layoutInCell="1" allowOverlap="1">
                <wp:simplePos x="0" y="0"/>
                <wp:positionH relativeFrom="column">
                  <wp:posOffset>7229475</wp:posOffset>
                </wp:positionH>
                <wp:positionV relativeFrom="paragraph">
                  <wp:posOffset>-224790</wp:posOffset>
                </wp:positionV>
                <wp:extent cx="1851660" cy="40513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1660" cy="405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717EF" w:rsidRPr="00AA2F1C" w:rsidRDefault="00C717EF" w:rsidP="008E5B53">
                            <w:pPr>
                              <w:rPr>
                                <w:b/>
                                <w:lang w:val="de-D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69.25pt;margin-top:-17.7pt;width:145.8pt;height:31.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" stroked="f">
                <v:textbox>
                  <w:txbxContent>
                    <w:p w:rsidR="00C717EF" w:rsidRPr="00AA2F1C" w:rsidRDefault="00C717EF" w:rsidP="008E5B53">
                      <w:pPr>
                        <w:rPr>
                          <w:b/>
                          <w:lang w:val="de-DE"/>
                        </w:rPr>
                      </w:pPr>
                    </w:p>
                  </w:txbxContent>
                </v:textbox>
              </v:shape>
            </w:pict>
          </mc:Fallback>
        </mc:AlternateContent>
      </w:r>
      <w:r w:rsidR="00DB3C4D">
        <w:rPr>
          <w:b/>
          <w:lang w:val="en-GB"/>
        </w:rPr>
        <w:t>Comments on ECC Deliverable under public consultation</w:t>
      </w:r>
    </w:p>
    <w:p w:rsidR="001C0B2C" w:rsidRDefault="001C0B2C" w:rsidP="009309B1">
      <w:pPr>
        <w:jc w:val="center"/>
        <w:rPr>
          <w:b/>
          <w:lang w:val="en-GB"/>
        </w:rPr>
      </w:pPr>
      <w:r>
        <w:rPr>
          <w:b/>
          <w:lang w:val="en-GB"/>
        </w:rPr>
        <w:t xml:space="preserve">“Draft CEPT </w:t>
      </w:r>
      <w:r w:rsidR="00860098">
        <w:rPr>
          <w:b/>
          <w:lang w:val="en-GB"/>
        </w:rPr>
        <w:t>Report 44 “</w:t>
      </w:r>
      <w:r w:rsidR="00860098" w:rsidRPr="00860098">
        <w:rPr>
          <w:b/>
          <w:lang w:val="en-GB"/>
        </w:rPr>
        <w:t>In response to the EC Permanent Mandate on the ”Annual update of the technical annex of the Commission Decision on the technical harmonisation of radio spectrum for use by short range devices”</w:t>
      </w:r>
    </w:p>
    <w:p w:rsidR="001C0B2C" w:rsidRDefault="001C0B2C" w:rsidP="009309B1">
      <w:pPr>
        <w:jc w:val="center"/>
        <w:rPr>
          <w:b/>
          <w:lang w:val="en-GB"/>
        </w:rPr>
      </w:pPr>
    </w:p>
    <w:p w:rsidR="009309B1" w:rsidRDefault="009309B1" w:rsidP="009309B1">
      <w:pPr>
        <w:jc w:val="center"/>
        <w:rPr>
          <w:b/>
          <w:lang w:val="en-GB"/>
        </w:rPr>
      </w:pPr>
    </w:p>
    <w:p w:rsidR="00686F27" w:rsidRDefault="007209D4" w:rsidP="009309B1">
      <w:pPr>
        <w:rPr>
          <w:b/>
          <w:lang w:val="en-GB"/>
        </w:rPr>
      </w:pPr>
      <w:r>
        <w:rPr>
          <w:b/>
          <w:lang w:val="en-GB"/>
        </w:rPr>
        <w:t>Source</w:t>
      </w:r>
      <w:r w:rsidR="00860098">
        <w:rPr>
          <w:b/>
          <w:lang w:val="en-GB"/>
        </w:rPr>
        <w:t>:</w:t>
      </w:r>
    </w:p>
    <w:p w:rsidR="00406AE0" w:rsidRDefault="007209D4" w:rsidP="009309B1">
      <w:pPr>
        <w:rPr>
          <w:b/>
          <w:lang w:val="en-GB"/>
        </w:rPr>
      </w:pPr>
      <w:r>
        <w:rPr>
          <w:b/>
          <w:lang w:val="en-GB"/>
        </w:rPr>
        <w:t>Company</w:t>
      </w:r>
      <w:r w:rsidR="00686F27">
        <w:rPr>
          <w:b/>
          <w:lang w:val="en-GB"/>
        </w:rPr>
        <w:t>:</w:t>
      </w:r>
      <w:r w:rsidR="009866D6">
        <w:rPr>
          <w:b/>
          <w:lang w:val="en-GB"/>
        </w:rPr>
        <w:t xml:space="preserve"> </w:t>
      </w:r>
      <w:r w:rsidR="00AF1459">
        <w:rPr>
          <w:b/>
          <w:lang w:val="en-GB"/>
        </w:rPr>
        <w:t>Medtronic</w:t>
      </w:r>
    </w:p>
    <w:p w:rsidR="00686F27" w:rsidRDefault="00686F27" w:rsidP="009309B1">
      <w:pPr>
        <w:rPr>
          <w:b/>
          <w:lang w:val="en-GB"/>
        </w:rPr>
      </w:pPr>
      <w:r>
        <w:rPr>
          <w:b/>
          <w:lang w:val="en-GB"/>
        </w:rPr>
        <w:t xml:space="preserve">Name and Appointment of </w:t>
      </w:r>
      <w:r w:rsidR="00406AE0">
        <w:rPr>
          <w:b/>
          <w:lang w:val="en-GB"/>
        </w:rPr>
        <w:t>c</w:t>
      </w:r>
      <w:r>
        <w:rPr>
          <w:b/>
          <w:lang w:val="en-GB"/>
        </w:rPr>
        <w:t>ontributor</w:t>
      </w:r>
      <w:r w:rsidR="00406AE0">
        <w:rPr>
          <w:b/>
          <w:lang w:val="en-GB"/>
        </w:rPr>
        <w:t>:</w:t>
      </w:r>
      <w:r w:rsidR="00860098">
        <w:rPr>
          <w:b/>
          <w:lang w:val="en-GB"/>
        </w:rPr>
        <w:t xml:space="preserve"> </w:t>
      </w:r>
      <w:r w:rsidR="00AF1459">
        <w:rPr>
          <w:b/>
          <w:lang w:val="en-GB"/>
        </w:rPr>
        <w:t>Saad Mezzour</w:t>
      </w:r>
    </w:p>
    <w:p w:rsidR="00686F27" w:rsidRDefault="00686F27" w:rsidP="009309B1">
      <w:pPr>
        <w:rPr>
          <w:b/>
          <w:lang w:val="en-GB"/>
        </w:rPr>
      </w:pPr>
    </w:p>
    <w:p w:rsidR="00686F27" w:rsidRDefault="00686F27" w:rsidP="009309B1">
      <w:pPr>
        <w:rPr>
          <w:b/>
          <w:lang w:val="en-GB"/>
        </w:rPr>
      </w:pPr>
    </w:p>
    <w:p w:rsidR="009309B1" w:rsidRDefault="009309B1" w:rsidP="009309B1">
      <w:pPr>
        <w:rPr>
          <w:b/>
          <w:lang w:val="en-GB"/>
        </w:rPr>
      </w:pPr>
      <w:r>
        <w:rPr>
          <w:b/>
          <w:lang w:val="en-GB"/>
        </w:rPr>
        <w:t xml:space="preserve">1 </w:t>
      </w:r>
      <w:r>
        <w:rPr>
          <w:b/>
          <w:lang w:val="en-GB"/>
        </w:rPr>
        <w:tab/>
        <w:t>General Comments</w:t>
      </w:r>
    </w:p>
    <w:p w:rsidR="00AF1459" w:rsidRDefault="00AF1459" w:rsidP="00C12983">
      <w:pPr>
        <w:rPr>
          <w:lang w:val="en-GB"/>
        </w:rPr>
      </w:pPr>
    </w:p>
    <w:p w:rsidR="00A66AB6" w:rsidRPr="00EB555E" w:rsidRDefault="00A66AB6" w:rsidP="00A66AB6">
      <w:pPr>
        <w:jc w:val="both"/>
        <w:rPr>
          <w:lang w:val="en-GB"/>
        </w:rPr>
      </w:pPr>
      <w:r>
        <w:rPr>
          <w:lang w:val="en-GB"/>
        </w:rPr>
        <w:t>Medtronic</w:t>
      </w:r>
      <w:r w:rsidR="003672CE">
        <w:rPr>
          <w:lang w:val="en-GB"/>
        </w:rPr>
        <w:t xml:space="preserve"> has</w:t>
      </w:r>
      <w:r w:rsidR="003672CE" w:rsidRPr="00EB555E">
        <w:rPr>
          <w:lang w:val="en-GB"/>
        </w:rPr>
        <w:t xml:space="preserve"> </w:t>
      </w:r>
      <w:r w:rsidRPr="00EB555E">
        <w:rPr>
          <w:lang w:val="en-GB"/>
        </w:rPr>
        <w:t xml:space="preserve">reviewed the draft CEPT report 44 </w:t>
      </w:r>
      <w:r w:rsidR="003672CE">
        <w:rPr>
          <w:lang w:val="en-GB"/>
        </w:rPr>
        <w:t xml:space="preserve">currently </w:t>
      </w:r>
      <w:r w:rsidRPr="00EB555E">
        <w:rPr>
          <w:lang w:val="en-GB"/>
        </w:rPr>
        <w:t xml:space="preserve">under public consultation and would like to provide the following </w:t>
      </w:r>
      <w:r>
        <w:rPr>
          <w:lang w:val="en-GB"/>
        </w:rPr>
        <w:t>general comment</w:t>
      </w:r>
      <w:r w:rsidRPr="00EB555E">
        <w:rPr>
          <w:lang w:val="en-GB"/>
        </w:rPr>
        <w:t>.</w:t>
      </w:r>
    </w:p>
    <w:p w:rsidR="00A66AB6" w:rsidRDefault="00A66AB6" w:rsidP="00A66AB6">
      <w:pPr>
        <w:jc w:val="both"/>
        <w:rPr>
          <w:lang w:val="en-GB"/>
        </w:rPr>
      </w:pPr>
    </w:p>
    <w:p w:rsidR="00207879" w:rsidRDefault="00A66AB6" w:rsidP="00A66AB6">
      <w:pPr>
        <w:jc w:val="both"/>
        <w:rPr>
          <w:lang w:val="en-GB"/>
        </w:rPr>
      </w:pPr>
      <w:r>
        <w:rPr>
          <w:lang w:val="en-GB"/>
        </w:rPr>
        <w:t xml:space="preserve">Medtronic continues to request CEPT to propose to the European Commission </w:t>
      </w:r>
      <w:r w:rsidR="00DD4306">
        <w:rPr>
          <w:lang w:val="en-GB"/>
        </w:rPr>
        <w:t xml:space="preserve">by stating </w:t>
      </w:r>
      <w:r w:rsidR="003672CE">
        <w:rPr>
          <w:lang w:val="en-GB"/>
        </w:rPr>
        <w:t>with</w:t>
      </w:r>
      <w:r>
        <w:rPr>
          <w:lang w:val="en-GB"/>
        </w:rPr>
        <w:t xml:space="preserve">in the CEPT report 44 </w:t>
      </w:r>
      <w:r w:rsidR="003672CE">
        <w:rPr>
          <w:lang w:val="en-GB"/>
        </w:rPr>
        <w:t xml:space="preserve">that </w:t>
      </w:r>
      <w:r>
        <w:rPr>
          <w:lang w:val="en-GB"/>
        </w:rPr>
        <w:t xml:space="preserve">the </w:t>
      </w:r>
      <w:r w:rsidRPr="00A66AB6">
        <w:rPr>
          <w:lang w:val="en-GB"/>
        </w:rPr>
        <w:t xml:space="preserve">removal of the </w:t>
      </w:r>
      <w:r w:rsidR="007209D4">
        <w:rPr>
          <w:lang w:val="en-GB"/>
        </w:rPr>
        <w:t>frequency band</w:t>
      </w:r>
      <w:r w:rsidR="00DD4306">
        <w:rPr>
          <w:lang w:val="en-GB"/>
        </w:rPr>
        <w:t>s</w:t>
      </w:r>
      <w:r w:rsidR="007209D4">
        <w:rPr>
          <w:lang w:val="en-GB"/>
        </w:rPr>
        <w:t xml:space="preserve"> </w:t>
      </w:r>
      <w:r w:rsidR="00DD4306">
        <w:rPr>
          <w:lang w:val="en-GB"/>
        </w:rPr>
        <w:t xml:space="preserve">401-402 MHz, 402-405 MHz and 405-406 MHz </w:t>
      </w:r>
      <w:r w:rsidR="007209D4">
        <w:rPr>
          <w:lang w:val="en-GB"/>
        </w:rPr>
        <w:t xml:space="preserve">used by </w:t>
      </w:r>
      <w:r w:rsidRPr="00A66AB6">
        <w:rPr>
          <w:lang w:val="en-GB"/>
        </w:rPr>
        <w:t xml:space="preserve">ULP-AMI </w:t>
      </w:r>
      <w:r w:rsidR="00207879">
        <w:rPr>
          <w:lang w:val="en-GB"/>
        </w:rPr>
        <w:t xml:space="preserve">communication systems </w:t>
      </w:r>
      <w:r w:rsidR="007209D4">
        <w:rPr>
          <w:lang w:val="en-GB"/>
        </w:rPr>
        <w:t>from the EC Decision on SRDs</w:t>
      </w:r>
      <w:r w:rsidR="003672CE">
        <w:rPr>
          <w:lang w:val="en-GB"/>
        </w:rPr>
        <w:t xml:space="preserve"> is needed to align the CEPT and EU policies regarding the use of the band</w:t>
      </w:r>
      <w:r w:rsidR="00207879">
        <w:rPr>
          <w:lang w:val="en-GB"/>
        </w:rPr>
        <w:t>.</w:t>
      </w:r>
      <w:bookmarkStart w:id="0" w:name="_GoBack"/>
      <w:bookmarkEnd w:id="0"/>
    </w:p>
    <w:p w:rsidR="00207879" w:rsidRDefault="00207879" w:rsidP="00A66AB6">
      <w:pPr>
        <w:jc w:val="both"/>
        <w:rPr>
          <w:lang w:val="en-GB"/>
        </w:rPr>
      </w:pPr>
    </w:p>
    <w:p w:rsidR="007209D4" w:rsidRDefault="007209D4" w:rsidP="00207879">
      <w:pPr>
        <w:jc w:val="both"/>
        <w:rPr>
          <w:lang w:val="en-GB"/>
        </w:rPr>
      </w:pPr>
      <w:r>
        <w:rPr>
          <w:lang w:val="en-GB"/>
        </w:rPr>
        <w:t xml:space="preserve">Removal of </w:t>
      </w:r>
      <w:r w:rsidR="00824A46">
        <w:rPr>
          <w:lang w:val="en-GB"/>
        </w:rPr>
        <w:t xml:space="preserve">these </w:t>
      </w:r>
      <w:r>
        <w:rPr>
          <w:lang w:val="en-GB"/>
        </w:rPr>
        <w:t>band</w:t>
      </w:r>
      <w:r w:rsidR="00824A46">
        <w:rPr>
          <w:lang w:val="en-GB"/>
        </w:rPr>
        <w:t>s</w:t>
      </w:r>
      <w:r>
        <w:rPr>
          <w:lang w:val="en-GB"/>
        </w:rPr>
        <w:t xml:space="preserve"> from the EC Decision on SRDs will complete the work achieved between ETSI and CEPT </w:t>
      </w:r>
      <w:r w:rsidR="00824A46">
        <w:rPr>
          <w:lang w:val="en-GB"/>
        </w:rPr>
        <w:t xml:space="preserve">that </w:t>
      </w:r>
      <w:r>
        <w:rPr>
          <w:lang w:val="en-GB"/>
        </w:rPr>
        <w:t xml:space="preserve">resulted in amendment of ECC Decision ERC/DEC (01)17 </w:t>
      </w:r>
      <w:r w:rsidR="00824A46">
        <w:rPr>
          <w:lang w:val="en-GB"/>
        </w:rPr>
        <w:t xml:space="preserve">to </w:t>
      </w:r>
      <w:r>
        <w:rPr>
          <w:lang w:val="en-GB"/>
        </w:rPr>
        <w:t>provi</w:t>
      </w:r>
      <w:r w:rsidR="00207879">
        <w:rPr>
          <w:lang w:val="en-GB"/>
        </w:rPr>
        <w:t>d</w:t>
      </w:r>
      <w:r w:rsidR="00824A46">
        <w:rPr>
          <w:lang w:val="en-GB"/>
        </w:rPr>
        <w:t>e</w:t>
      </w:r>
      <w:r>
        <w:rPr>
          <w:lang w:val="en-GB"/>
        </w:rPr>
        <w:t xml:space="preserve"> protected status to ULP-AMI</w:t>
      </w:r>
      <w:r w:rsidR="003672CE">
        <w:rPr>
          <w:lang w:val="en-GB"/>
        </w:rPr>
        <w:t xml:space="preserve"> as a secondary mobile service</w:t>
      </w:r>
      <w:r w:rsidR="00FC4013">
        <w:rPr>
          <w:lang w:val="en-GB"/>
        </w:rPr>
        <w:t>. This</w:t>
      </w:r>
      <w:r w:rsidR="00207879">
        <w:rPr>
          <w:lang w:val="en-GB"/>
        </w:rPr>
        <w:t xml:space="preserve"> was followed by</w:t>
      </w:r>
      <w:r>
        <w:rPr>
          <w:lang w:val="en-GB"/>
        </w:rPr>
        <w:t xml:space="preserve"> removal of the frequency band</w:t>
      </w:r>
      <w:r w:rsidR="00824A46">
        <w:rPr>
          <w:lang w:val="en-GB"/>
        </w:rPr>
        <w:t>s</w:t>
      </w:r>
      <w:r>
        <w:rPr>
          <w:lang w:val="en-GB"/>
        </w:rPr>
        <w:t xml:space="preserve"> </w:t>
      </w:r>
      <w:r w:rsidR="00DD4306">
        <w:rPr>
          <w:lang w:val="en-GB"/>
        </w:rPr>
        <w:t xml:space="preserve">401-402 MHz, 402-405 MHz and 405-406 MHz </w:t>
      </w:r>
      <w:r>
        <w:rPr>
          <w:lang w:val="en-GB"/>
        </w:rPr>
        <w:t>from CEPT recommendation ERC/REC 70-03</w:t>
      </w:r>
      <w:r w:rsidR="003672CE">
        <w:rPr>
          <w:lang w:val="en-GB"/>
        </w:rPr>
        <w:t xml:space="preserve"> and </w:t>
      </w:r>
      <w:r w:rsidR="005B1AFE">
        <w:rPr>
          <w:lang w:val="en-GB"/>
        </w:rPr>
        <w:t xml:space="preserve">all SRD </w:t>
      </w:r>
      <w:r w:rsidR="003672CE">
        <w:rPr>
          <w:lang w:val="en-GB"/>
        </w:rPr>
        <w:t>references in the applicable ETSI standards</w:t>
      </w:r>
      <w:r w:rsidR="005B1AFE">
        <w:rPr>
          <w:lang w:val="en-GB"/>
        </w:rPr>
        <w:t xml:space="preserve"> are in process of being </w:t>
      </w:r>
      <w:r w:rsidR="00824A46">
        <w:rPr>
          <w:lang w:val="en-GB"/>
        </w:rPr>
        <w:t>deleted</w:t>
      </w:r>
      <w:r>
        <w:rPr>
          <w:lang w:val="en-GB"/>
        </w:rPr>
        <w:t xml:space="preserve">. This </w:t>
      </w:r>
      <w:r w:rsidR="005B1AFE">
        <w:rPr>
          <w:lang w:val="en-GB"/>
        </w:rPr>
        <w:t xml:space="preserve">policy </w:t>
      </w:r>
      <w:r>
        <w:rPr>
          <w:lang w:val="en-GB"/>
        </w:rPr>
        <w:t xml:space="preserve">is also in line with ITU-R Recommendation ITU-R RS. 1346 </w:t>
      </w:r>
      <w:r w:rsidR="00207879">
        <w:rPr>
          <w:lang w:val="en-GB"/>
        </w:rPr>
        <w:t xml:space="preserve">which </w:t>
      </w:r>
      <w:r w:rsidR="00207879" w:rsidRPr="00207879">
        <w:rPr>
          <w:lang w:val="en-GB"/>
        </w:rPr>
        <w:t>considered Medical Implant</w:t>
      </w:r>
      <w:r w:rsidR="00207879">
        <w:rPr>
          <w:lang w:val="en-GB"/>
        </w:rPr>
        <w:t xml:space="preserve"> </w:t>
      </w:r>
      <w:r w:rsidR="00207879" w:rsidRPr="00207879">
        <w:rPr>
          <w:lang w:val="en-GB"/>
        </w:rPr>
        <w:t>Communication Systems to require a band that is available worldwide, and may operate in the</w:t>
      </w:r>
      <w:r w:rsidR="00207879">
        <w:rPr>
          <w:lang w:val="en-GB"/>
        </w:rPr>
        <w:t xml:space="preserve"> </w:t>
      </w:r>
      <w:r w:rsidR="00207879" w:rsidRPr="00207879">
        <w:rPr>
          <w:lang w:val="en-GB"/>
        </w:rPr>
        <w:t xml:space="preserve">mobile service currently allocated on a secondary basis in the </w:t>
      </w:r>
      <w:r w:rsidR="00824A46">
        <w:rPr>
          <w:lang w:val="en-GB"/>
        </w:rPr>
        <w:t>band 401</w:t>
      </w:r>
      <w:r w:rsidR="00DD4306">
        <w:rPr>
          <w:lang w:val="en-GB"/>
        </w:rPr>
        <w:t xml:space="preserve">-406 </w:t>
      </w:r>
      <w:proofErr w:type="spellStart"/>
      <w:r w:rsidR="00DD4306">
        <w:rPr>
          <w:lang w:val="en-GB"/>
        </w:rPr>
        <w:t>MHz</w:t>
      </w:r>
      <w:r w:rsidR="005B1AFE">
        <w:rPr>
          <w:lang w:val="en-GB"/>
        </w:rPr>
        <w:t>.</w:t>
      </w:r>
      <w:proofErr w:type="spellEnd"/>
    </w:p>
    <w:p w:rsidR="007209D4" w:rsidRDefault="007209D4" w:rsidP="00A66AB6">
      <w:pPr>
        <w:jc w:val="both"/>
        <w:rPr>
          <w:lang w:val="en-GB"/>
        </w:rPr>
      </w:pPr>
    </w:p>
    <w:p w:rsidR="00207879" w:rsidRDefault="00207879" w:rsidP="00A66AB6">
      <w:pPr>
        <w:jc w:val="both"/>
        <w:rPr>
          <w:lang w:val="en-GB"/>
        </w:rPr>
      </w:pPr>
      <w:r>
        <w:rPr>
          <w:lang w:val="en-GB"/>
        </w:rPr>
        <w:t xml:space="preserve">Removal of </w:t>
      </w:r>
      <w:r w:rsidR="00DD4306">
        <w:rPr>
          <w:lang w:val="en-GB"/>
        </w:rPr>
        <w:t xml:space="preserve">the </w:t>
      </w:r>
      <w:r w:rsidR="00824A46">
        <w:rPr>
          <w:lang w:val="en-GB"/>
        </w:rPr>
        <w:t xml:space="preserve">401-402 MHz, 402-405 MHz and 405-406 MHz </w:t>
      </w:r>
      <w:r>
        <w:rPr>
          <w:lang w:val="en-GB"/>
        </w:rPr>
        <w:t>band</w:t>
      </w:r>
      <w:r w:rsidR="00824A46">
        <w:rPr>
          <w:lang w:val="en-GB"/>
        </w:rPr>
        <w:t>s</w:t>
      </w:r>
      <w:r>
        <w:rPr>
          <w:lang w:val="en-GB"/>
        </w:rPr>
        <w:t xml:space="preserve"> from the EC Decision on SRDs</w:t>
      </w:r>
      <w:r w:rsidR="00784488">
        <w:rPr>
          <w:lang w:val="en-GB"/>
        </w:rPr>
        <w:t xml:space="preserve"> to align the use of the bands with </w:t>
      </w:r>
      <w:r w:rsidR="00CB29E4">
        <w:rPr>
          <w:lang w:val="en-GB"/>
        </w:rPr>
        <w:t>ECC Decision ERC/DEC (01)17 and the ITU-R recommendation</w:t>
      </w:r>
      <w:r>
        <w:rPr>
          <w:lang w:val="en-GB"/>
        </w:rPr>
        <w:t xml:space="preserve"> </w:t>
      </w:r>
      <w:r w:rsidR="005B1AFE">
        <w:rPr>
          <w:lang w:val="en-GB"/>
        </w:rPr>
        <w:t xml:space="preserve">is required in order to prevent confusion </w:t>
      </w:r>
      <w:r w:rsidR="00CB29E4">
        <w:rPr>
          <w:lang w:val="en-GB"/>
        </w:rPr>
        <w:t xml:space="preserve">the status of the </w:t>
      </w:r>
      <w:r w:rsidR="005B1AFE">
        <w:rPr>
          <w:lang w:val="en-GB"/>
        </w:rPr>
        <w:t xml:space="preserve">ULP-AMI </w:t>
      </w:r>
      <w:r w:rsidR="00CB29E4">
        <w:rPr>
          <w:lang w:val="en-GB"/>
        </w:rPr>
        <w:t>systems within Europe.  I</w:t>
      </w:r>
      <w:r w:rsidR="00BD3DFB">
        <w:rPr>
          <w:lang w:val="en-GB"/>
        </w:rPr>
        <w:t xml:space="preserve">nclusion of </w:t>
      </w:r>
      <w:r w:rsidR="00DD4306">
        <w:rPr>
          <w:lang w:val="en-GB"/>
        </w:rPr>
        <w:t xml:space="preserve">the </w:t>
      </w:r>
      <w:r>
        <w:rPr>
          <w:lang w:val="en-GB"/>
        </w:rPr>
        <w:t xml:space="preserve">ULP-AMI </w:t>
      </w:r>
      <w:r w:rsidR="00DD4306">
        <w:rPr>
          <w:lang w:val="en-GB"/>
        </w:rPr>
        <w:t xml:space="preserve">bands in the EC Decision as bands available </w:t>
      </w:r>
      <w:r w:rsidR="0068754F">
        <w:rPr>
          <w:lang w:val="en-GB"/>
        </w:rPr>
        <w:t>for</w:t>
      </w:r>
      <w:r w:rsidR="00BD3DFB">
        <w:rPr>
          <w:lang w:val="en-GB"/>
        </w:rPr>
        <w:t xml:space="preserve"> </w:t>
      </w:r>
      <w:r>
        <w:rPr>
          <w:lang w:val="en-GB"/>
        </w:rPr>
        <w:t>non-protected SRD</w:t>
      </w:r>
      <w:r w:rsidR="00DD4306">
        <w:rPr>
          <w:lang w:val="en-GB"/>
        </w:rPr>
        <w:t>s</w:t>
      </w:r>
      <w:r w:rsidR="0068754F">
        <w:rPr>
          <w:lang w:val="en-GB"/>
        </w:rPr>
        <w:t>, in contradiction to the ECC position</w:t>
      </w:r>
      <w:r>
        <w:rPr>
          <w:lang w:val="en-GB"/>
        </w:rPr>
        <w:t xml:space="preserve"> </w:t>
      </w:r>
      <w:r w:rsidR="0068754F">
        <w:rPr>
          <w:lang w:val="en-GB"/>
        </w:rPr>
        <w:t xml:space="preserve">would do great harm to the industry and the public perception of medical communications for highly reliable communications. </w:t>
      </w:r>
    </w:p>
    <w:p w:rsidR="0068754F" w:rsidRDefault="0068754F" w:rsidP="00A66AB6">
      <w:pPr>
        <w:jc w:val="both"/>
        <w:rPr>
          <w:lang w:val="en-GB"/>
        </w:rPr>
      </w:pPr>
    </w:p>
    <w:p w:rsidR="00B22C53" w:rsidRDefault="00B22C53" w:rsidP="00B22C53">
      <w:pPr>
        <w:rPr>
          <w:lang w:val="en-GB"/>
        </w:rPr>
      </w:pPr>
      <w:r>
        <w:rPr>
          <w:lang w:val="en-GB"/>
        </w:rPr>
        <w:t xml:space="preserve">Removal of this band from the EC Decision will provide a significant benefit to the ULP-AMI users in hospital for Physicians and/or nurses for implant programing and patient follow-up and at home by patient for </w:t>
      </w:r>
      <w:r w:rsidR="00DD5ECB">
        <w:rPr>
          <w:lang w:val="en-GB"/>
        </w:rPr>
        <w:t>patient remote monitoring</w:t>
      </w:r>
      <w:r>
        <w:rPr>
          <w:lang w:val="en-GB"/>
        </w:rPr>
        <w:t xml:space="preserve">. The </w:t>
      </w:r>
      <w:r w:rsidR="00DD5ECB">
        <w:rPr>
          <w:lang w:val="en-GB"/>
        </w:rPr>
        <w:t>benefit to the ULP-AMI users</w:t>
      </w:r>
      <w:r w:rsidR="0068754F">
        <w:rPr>
          <w:lang w:val="en-GB"/>
        </w:rPr>
        <w:t xml:space="preserve"> in Europe</w:t>
      </w:r>
      <w:r w:rsidR="00DD5ECB">
        <w:rPr>
          <w:lang w:val="en-GB"/>
        </w:rPr>
        <w:t xml:space="preserve"> is</w:t>
      </w:r>
      <w:r>
        <w:rPr>
          <w:lang w:val="en-GB"/>
        </w:rPr>
        <w:t xml:space="preserve"> legal certainty</w:t>
      </w:r>
      <w:r w:rsidR="0068754F">
        <w:rPr>
          <w:lang w:val="en-GB"/>
        </w:rPr>
        <w:t xml:space="preserve"> of protection</w:t>
      </w:r>
      <w:r>
        <w:rPr>
          <w:lang w:val="en-GB"/>
        </w:rPr>
        <w:t xml:space="preserve"> by preclu</w:t>
      </w:r>
      <w:r w:rsidR="0068754F">
        <w:rPr>
          <w:lang w:val="en-GB"/>
        </w:rPr>
        <w:t>ding</w:t>
      </w:r>
      <w:r>
        <w:rPr>
          <w:lang w:val="en-GB"/>
        </w:rPr>
        <w:t xml:space="preserve"> proliferation and aggregation of applications</w:t>
      </w:r>
      <w:r w:rsidR="0068754F">
        <w:rPr>
          <w:lang w:val="en-GB"/>
        </w:rPr>
        <w:t xml:space="preserve"> </w:t>
      </w:r>
      <w:r w:rsidR="008D7ECA">
        <w:rPr>
          <w:lang w:val="en-GB"/>
        </w:rPr>
        <w:t xml:space="preserve">from </w:t>
      </w:r>
      <w:r w:rsidR="0068754F">
        <w:rPr>
          <w:lang w:val="en-GB"/>
        </w:rPr>
        <w:t>SRDs over time</w:t>
      </w:r>
      <w:r w:rsidR="008D7ECA">
        <w:rPr>
          <w:lang w:val="en-GB"/>
        </w:rPr>
        <w:t>.</w:t>
      </w:r>
      <w:r>
        <w:rPr>
          <w:lang w:val="en-GB"/>
        </w:rPr>
        <w:t xml:space="preserve"> </w:t>
      </w:r>
      <w:r w:rsidR="008D7ECA">
        <w:rPr>
          <w:lang w:val="en-GB"/>
        </w:rPr>
        <w:t>This is critical to the long term usage of the band for medical devices many of which will continue to rely on use of the band for ten or more years.</w:t>
      </w:r>
    </w:p>
    <w:p w:rsidR="00B22C53" w:rsidRDefault="00B22C53" w:rsidP="00A66AB6">
      <w:pPr>
        <w:jc w:val="both"/>
        <w:rPr>
          <w:lang w:val="en-GB"/>
        </w:rPr>
      </w:pPr>
    </w:p>
    <w:p w:rsidR="00A66AB6" w:rsidRDefault="00FC4013" w:rsidP="00A66AB6">
      <w:pPr>
        <w:jc w:val="both"/>
        <w:rPr>
          <w:lang w:val="en-GB"/>
        </w:rPr>
      </w:pPr>
      <w:r>
        <w:rPr>
          <w:lang w:val="en-GB"/>
        </w:rPr>
        <w:t>Removal of this band from the EC Decision on SRDs</w:t>
      </w:r>
      <w:r w:rsidR="00A66AB6" w:rsidRPr="00A66AB6">
        <w:rPr>
          <w:lang w:val="en-GB"/>
        </w:rPr>
        <w:t xml:space="preserve"> will </w:t>
      </w:r>
      <w:r w:rsidR="007209D4">
        <w:rPr>
          <w:lang w:val="en-GB"/>
        </w:rPr>
        <w:t xml:space="preserve">also </w:t>
      </w:r>
      <w:r w:rsidR="008D7ECA">
        <w:rPr>
          <w:lang w:val="en-GB"/>
        </w:rPr>
        <w:t>require</w:t>
      </w:r>
      <w:r w:rsidR="008D7ECA" w:rsidRPr="00A66AB6">
        <w:rPr>
          <w:lang w:val="en-GB"/>
        </w:rPr>
        <w:t xml:space="preserve"> </w:t>
      </w:r>
      <w:r w:rsidR="00A66AB6" w:rsidRPr="00A66AB6">
        <w:rPr>
          <w:lang w:val="en-GB"/>
        </w:rPr>
        <w:t xml:space="preserve">EU Member States, who have to follow the minimum restrictions in the EC SRD decision, from allowing </w:t>
      </w:r>
      <w:r w:rsidR="007209D4">
        <w:rPr>
          <w:lang w:val="en-GB"/>
        </w:rPr>
        <w:t xml:space="preserve">new </w:t>
      </w:r>
      <w:r w:rsidR="00A66AB6" w:rsidRPr="00A66AB6">
        <w:rPr>
          <w:lang w:val="en-GB"/>
        </w:rPr>
        <w:t>applications in the band</w:t>
      </w:r>
      <w:r w:rsidR="008D7ECA">
        <w:rPr>
          <w:lang w:val="en-GB"/>
        </w:rPr>
        <w:t>,</w:t>
      </w:r>
      <w:r w:rsidR="00A66AB6" w:rsidRPr="00A66AB6">
        <w:rPr>
          <w:lang w:val="en-GB"/>
        </w:rPr>
        <w:t xml:space="preserve"> </w:t>
      </w:r>
      <w:r w:rsidR="008D7ECA">
        <w:rPr>
          <w:lang w:val="en-GB"/>
        </w:rPr>
        <w:t xml:space="preserve">based on the principal of minimum restrictions, </w:t>
      </w:r>
      <w:r w:rsidR="00A66AB6" w:rsidRPr="00A66AB6">
        <w:rPr>
          <w:lang w:val="en-GB"/>
        </w:rPr>
        <w:t xml:space="preserve">other than the meteorological radio services and ULP-AMI, without conducting </w:t>
      </w:r>
      <w:r w:rsidR="008D7ECA">
        <w:rPr>
          <w:lang w:val="en-GB"/>
        </w:rPr>
        <w:t>the</w:t>
      </w:r>
      <w:r w:rsidR="008D7ECA" w:rsidRPr="00A66AB6">
        <w:rPr>
          <w:lang w:val="en-GB"/>
        </w:rPr>
        <w:t xml:space="preserve"> </w:t>
      </w:r>
      <w:r w:rsidR="00A66AB6" w:rsidRPr="00A66AB6">
        <w:rPr>
          <w:lang w:val="en-GB"/>
        </w:rPr>
        <w:t xml:space="preserve">compatibility </w:t>
      </w:r>
      <w:r w:rsidR="008D7ECA" w:rsidRPr="00A66AB6">
        <w:rPr>
          <w:lang w:val="en-GB"/>
        </w:rPr>
        <w:t>stud</w:t>
      </w:r>
      <w:r w:rsidR="008D7ECA">
        <w:rPr>
          <w:lang w:val="en-GB"/>
        </w:rPr>
        <w:t>ies required for all secondary services</w:t>
      </w:r>
      <w:r w:rsidR="008D7ECA" w:rsidRPr="00A66AB6">
        <w:rPr>
          <w:lang w:val="en-GB"/>
        </w:rPr>
        <w:t xml:space="preserve"> </w:t>
      </w:r>
      <w:r w:rsidR="00A66AB6" w:rsidRPr="00A66AB6">
        <w:rPr>
          <w:lang w:val="en-GB"/>
        </w:rPr>
        <w:t>to protect existing users</w:t>
      </w:r>
      <w:r w:rsidR="00DD5ECB">
        <w:rPr>
          <w:lang w:val="en-GB"/>
        </w:rPr>
        <w:t xml:space="preserve"> and to prevent aggregation and proliferation of SRD applications in this band</w:t>
      </w:r>
      <w:r w:rsidR="00A66AB6" w:rsidRPr="00A66AB6">
        <w:rPr>
          <w:lang w:val="en-GB"/>
        </w:rPr>
        <w:t xml:space="preserve">. Such deletion from the EC Decision on SRDs will not impose </w:t>
      </w:r>
      <w:r w:rsidR="007209D4">
        <w:rPr>
          <w:lang w:val="en-GB"/>
        </w:rPr>
        <w:t xml:space="preserve">any </w:t>
      </w:r>
      <w:r w:rsidR="00A66AB6" w:rsidRPr="00A66AB6">
        <w:rPr>
          <w:lang w:val="en-GB"/>
        </w:rPr>
        <w:t>new regulatory change in EU Member States unless the European Commission decides to develop a specific EC Decision on ULP-AMI in the 401-406MHz band aligned with the technical requirements operating with protected status in the amended ERC/DEC (01)17. This could be proposed in the draft CEPT report 44 and the decision could be left to the European Commission to decide on the necessity for such a specific EC Decision or if th</w:t>
      </w:r>
      <w:r w:rsidR="007209D4">
        <w:rPr>
          <w:lang w:val="en-GB"/>
        </w:rPr>
        <w:t>e ERC/DEC (01)17 is sufficient.</w:t>
      </w:r>
    </w:p>
    <w:sectPr w:rsidR="00A66AB6" w:rsidSect="001C0B2C">
      <w:pgSz w:w="16838" w:h="11906" w:orient="landscape"/>
      <w:pgMar w:top="993"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959"/>
    <w:rsid w:val="000B7C07"/>
    <w:rsid w:val="0016008A"/>
    <w:rsid w:val="001C0B2C"/>
    <w:rsid w:val="001D03AC"/>
    <w:rsid w:val="001E4C77"/>
    <w:rsid w:val="00207879"/>
    <w:rsid w:val="00214AE0"/>
    <w:rsid w:val="00215963"/>
    <w:rsid w:val="00282AD3"/>
    <w:rsid w:val="002E6D2D"/>
    <w:rsid w:val="003672CE"/>
    <w:rsid w:val="003B0EBB"/>
    <w:rsid w:val="00406AE0"/>
    <w:rsid w:val="0047537A"/>
    <w:rsid w:val="004A3ABB"/>
    <w:rsid w:val="0053014D"/>
    <w:rsid w:val="005542D1"/>
    <w:rsid w:val="005B1AFE"/>
    <w:rsid w:val="00615161"/>
    <w:rsid w:val="00686F27"/>
    <w:rsid w:val="0068754F"/>
    <w:rsid w:val="006B327E"/>
    <w:rsid w:val="007209D4"/>
    <w:rsid w:val="00784488"/>
    <w:rsid w:val="008076CD"/>
    <w:rsid w:val="00824A46"/>
    <w:rsid w:val="00860098"/>
    <w:rsid w:val="00896EB8"/>
    <w:rsid w:val="008D7ECA"/>
    <w:rsid w:val="008E5B53"/>
    <w:rsid w:val="009208EA"/>
    <w:rsid w:val="009309B1"/>
    <w:rsid w:val="009314DA"/>
    <w:rsid w:val="00937CEB"/>
    <w:rsid w:val="009866D6"/>
    <w:rsid w:val="00A175B1"/>
    <w:rsid w:val="00A66AB6"/>
    <w:rsid w:val="00A7413C"/>
    <w:rsid w:val="00AA2F1C"/>
    <w:rsid w:val="00AD21A8"/>
    <w:rsid w:val="00AE5D0C"/>
    <w:rsid w:val="00AF1459"/>
    <w:rsid w:val="00B22C53"/>
    <w:rsid w:val="00BB0959"/>
    <w:rsid w:val="00BB28E6"/>
    <w:rsid w:val="00BD3DFB"/>
    <w:rsid w:val="00C12983"/>
    <w:rsid w:val="00C54171"/>
    <w:rsid w:val="00C717EF"/>
    <w:rsid w:val="00CB29E4"/>
    <w:rsid w:val="00CC691A"/>
    <w:rsid w:val="00D20F05"/>
    <w:rsid w:val="00D43B25"/>
    <w:rsid w:val="00DA1ACA"/>
    <w:rsid w:val="00DA346B"/>
    <w:rsid w:val="00DB3C4D"/>
    <w:rsid w:val="00DB6F5F"/>
    <w:rsid w:val="00DD4306"/>
    <w:rsid w:val="00DD5ECB"/>
    <w:rsid w:val="00DE4AC7"/>
    <w:rsid w:val="00EB555E"/>
    <w:rsid w:val="00EE1EAA"/>
    <w:rsid w:val="00F2022D"/>
    <w:rsid w:val="00F32273"/>
    <w:rsid w:val="00FB0F3C"/>
    <w:rsid w:val="00FC40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9314DA"/>
    <w:pPr>
      <w:spacing w:after="240"/>
      <w:jc w:val="both"/>
    </w:pPr>
    <w:rPr>
      <w:rFonts w:ascii="Arial" w:hAnsi="Arial"/>
      <w:sz w:val="20"/>
      <w:lang w:val="en-GB" w:eastAsia="en-US"/>
    </w:rPr>
  </w:style>
  <w:style w:type="paragraph" w:styleId="Revision">
    <w:name w:val="Revision"/>
    <w:hidden/>
    <w:uiPriority w:val="99"/>
    <w:semiHidden/>
    <w:rsid w:val="00FB0F3C"/>
    <w:rPr>
      <w:sz w:val="24"/>
      <w:szCs w:val="24"/>
    </w:rPr>
  </w:style>
  <w:style w:type="paragraph" w:styleId="BalloonText">
    <w:name w:val="Balloon Text"/>
    <w:basedOn w:val="Normal"/>
    <w:link w:val="BalloonTextChar"/>
    <w:rsid w:val="00FB0F3C"/>
    <w:rPr>
      <w:rFonts w:ascii="Tahoma" w:hAnsi="Tahoma" w:cs="Tahoma"/>
      <w:sz w:val="16"/>
      <w:szCs w:val="16"/>
    </w:rPr>
  </w:style>
  <w:style w:type="character" w:customStyle="1" w:styleId="BalloonTextChar">
    <w:name w:val="Balloon Text Char"/>
    <w:basedOn w:val="DefaultParagraphFont"/>
    <w:link w:val="BalloonText"/>
    <w:rsid w:val="00FB0F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9314DA"/>
    <w:pPr>
      <w:spacing w:after="240"/>
      <w:jc w:val="both"/>
    </w:pPr>
    <w:rPr>
      <w:rFonts w:ascii="Arial" w:hAnsi="Arial"/>
      <w:sz w:val="20"/>
      <w:lang w:val="en-GB" w:eastAsia="en-US"/>
    </w:rPr>
  </w:style>
  <w:style w:type="paragraph" w:styleId="Revision">
    <w:name w:val="Revision"/>
    <w:hidden/>
    <w:uiPriority w:val="99"/>
    <w:semiHidden/>
    <w:rsid w:val="00FB0F3C"/>
    <w:rPr>
      <w:sz w:val="24"/>
      <w:szCs w:val="24"/>
    </w:rPr>
  </w:style>
  <w:style w:type="paragraph" w:styleId="BalloonText">
    <w:name w:val="Balloon Text"/>
    <w:basedOn w:val="Normal"/>
    <w:link w:val="BalloonTextChar"/>
    <w:rsid w:val="00FB0F3C"/>
    <w:rPr>
      <w:rFonts w:ascii="Tahoma" w:hAnsi="Tahoma" w:cs="Tahoma"/>
      <w:sz w:val="16"/>
      <w:szCs w:val="16"/>
    </w:rPr>
  </w:style>
  <w:style w:type="character" w:customStyle="1" w:styleId="BalloonTextChar">
    <w:name w:val="Balloon Text Char"/>
    <w:basedOn w:val="DefaultParagraphFont"/>
    <w:link w:val="BalloonText"/>
    <w:rsid w:val="00FB0F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1944C-FCF4-498D-8AB0-516C1C201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547</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Template for the development of comments during public consultation on ECC deliverables</vt:lpstr>
    </vt:vector>
  </TitlesOfParts>
  <Company>anfr</Company>
  <LinksUpToDate>false</LinksUpToDate>
  <CharactersWithSpaces>3664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the development of comments during public consultation on ECC deliverables</dc:title>
  <dc:creator>Editor</dc:creator>
  <cp:lastModifiedBy>Mezzour, Saad [Dr.]</cp:lastModifiedBy>
  <cp:revision>5</cp:revision>
  <dcterms:created xsi:type="dcterms:W3CDTF">2012-11-28T22:51:00Z</dcterms:created>
  <dcterms:modified xsi:type="dcterms:W3CDTF">2012-11-28T22:57:00Z</dcterms:modified>
</cp:coreProperties>
</file>